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BFD" w:rsidRPr="00904BFD" w:rsidRDefault="00904BFD" w:rsidP="00904BFD">
      <w:pPr>
        <w:spacing w:after="0" w:line="240" w:lineRule="auto"/>
        <w:jc w:val="center"/>
        <w:rPr>
          <w:rFonts w:eastAsia="Times New Roman"/>
          <w:sz w:val="24"/>
          <w:szCs w:val="24"/>
        </w:rPr>
      </w:pPr>
      <w:r w:rsidRPr="00904BFD">
        <w:rPr>
          <w:rFonts w:eastAsia="Times New Roman"/>
          <w:b/>
          <w:bCs/>
        </w:rPr>
        <w:t>BÁO CÁO THAM LUẬN CỦA UBND THÀNH PHỐ HẢI PHÒNG</w:t>
      </w:r>
    </w:p>
    <w:p w:rsidR="00904BFD" w:rsidRPr="00904BFD" w:rsidRDefault="00904BFD" w:rsidP="00904BFD">
      <w:pPr>
        <w:spacing w:after="0" w:line="240" w:lineRule="auto"/>
        <w:jc w:val="center"/>
        <w:rPr>
          <w:rFonts w:eastAsia="Times New Roman"/>
          <w:sz w:val="24"/>
          <w:szCs w:val="24"/>
        </w:rPr>
      </w:pPr>
      <w:r w:rsidRPr="00904BFD">
        <w:rPr>
          <w:rFonts w:eastAsia="Times New Roman"/>
          <w:b/>
          <w:bCs/>
        </w:rPr>
        <w:t xml:space="preserve">Tại Hội nghị sơ kết công tác phòng, chống AIDS </w:t>
      </w:r>
    </w:p>
    <w:p w:rsidR="00904BFD" w:rsidRPr="00904BFD" w:rsidRDefault="00904BFD" w:rsidP="00904BFD">
      <w:pPr>
        <w:spacing w:after="0" w:line="240" w:lineRule="auto"/>
        <w:jc w:val="center"/>
        <w:rPr>
          <w:rFonts w:eastAsia="Times New Roman"/>
          <w:sz w:val="24"/>
          <w:szCs w:val="24"/>
        </w:rPr>
      </w:pPr>
      <w:r w:rsidRPr="00904BFD">
        <w:rPr>
          <w:rFonts w:eastAsia="Times New Roman"/>
          <w:b/>
          <w:bCs/>
        </w:rPr>
        <w:t>và phòng, chống tệ nạn ma túy, mại dâm 6 tháng đầu năm 2014</w:t>
      </w:r>
    </w:p>
    <w:p w:rsidR="00904BFD" w:rsidRPr="00904BFD" w:rsidRDefault="00904BFD" w:rsidP="00904BFD">
      <w:pPr>
        <w:spacing w:before="100" w:beforeAutospacing="1" w:after="100" w:afterAutospacing="1" w:line="240" w:lineRule="auto"/>
        <w:jc w:val="center"/>
        <w:rPr>
          <w:rFonts w:eastAsia="Times New Roman"/>
          <w:sz w:val="24"/>
          <w:szCs w:val="24"/>
        </w:rPr>
      </w:pPr>
      <w:r w:rsidRPr="00904BFD">
        <w:rPr>
          <w:rFonts w:eastAsia="Times New Roman"/>
          <w:sz w:val="16"/>
        </w:rPr>
        <w:t>_______________</w:t>
      </w:r>
    </w:p>
    <w:p w:rsidR="00904BFD" w:rsidRPr="00904BFD" w:rsidRDefault="00904BFD" w:rsidP="00904BFD">
      <w:pPr>
        <w:spacing w:before="120" w:after="100" w:afterAutospacing="1" w:line="240" w:lineRule="auto"/>
        <w:jc w:val="left"/>
        <w:rPr>
          <w:rFonts w:eastAsia="Times New Roman"/>
          <w:sz w:val="24"/>
          <w:szCs w:val="24"/>
        </w:rPr>
      </w:pPr>
      <w:r w:rsidRPr="00904BFD">
        <w:rPr>
          <w:rFonts w:eastAsia="Times New Roman"/>
          <w:sz w:val="24"/>
          <w:szCs w:val="24"/>
        </w:rPr>
        <w:t> </w:t>
      </w:r>
    </w:p>
    <w:p w:rsidR="00904BFD" w:rsidRPr="00904BFD" w:rsidRDefault="00904BFD" w:rsidP="00904BFD">
      <w:pPr>
        <w:spacing w:before="120" w:after="100" w:afterAutospacing="1" w:line="400" w:lineRule="atLeast"/>
        <w:ind w:firstLine="1440"/>
        <w:rPr>
          <w:rFonts w:eastAsia="Times New Roman"/>
          <w:sz w:val="24"/>
          <w:szCs w:val="24"/>
        </w:rPr>
      </w:pPr>
      <w:r w:rsidRPr="00904BFD">
        <w:rPr>
          <w:rFonts w:eastAsia="Times New Roman"/>
          <w:sz w:val="30"/>
        </w:rPr>
        <w:t>- Kính thưa Phó Thủ tướng Chính phủ Vũ Đức Đam - Chủ tịch Ủy ban Quốc gia phòng, chống AIDS và phòng, chống tệ nạn ma túy, mại dâm;</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Kính thưa các đồng chí lãnh đạo các Bộ, ban, ngành Trung ương, lãnh đạo các tỉnh, thành phố;</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Thưa các quý vị đại biểu;</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Thưa toàn thể Hội nghị.</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xml:space="preserve">Được phép của Ban Tổ chức Hội nghị, thay mặt Ủy ban nhân dân thành phố Hải Phòng, tôi xin trình bày báo cáo tham luận về </w:t>
      </w:r>
      <w:r w:rsidRPr="00904BFD">
        <w:rPr>
          <w:rFonts w:eastAsia="Times New Roman"/>
          <w:b/>
          <w:bCs/>
          <w:i/>
          <w:iCs/>
          <w:sz w:val="30"/>
        </w:rPr>
        <w:t xml:space="preserve">“Một số tồn tại, khó khăn và giải pháp trong công tác phòng, chống tệ nạn mại dâm trên địa bàn thành phố Hải Phòng; xã hội hóa công tác điều trị Methadone, kết quả và một số bài học kinh nghiệm tại Hải Phòng”. </w:t>
      </w:r>
    </w:p>
    <w:p w:rsidR="00904BFD" w:rsidRPr="00904BFD" w:rsidRDefault="00904BFD" w:rsidP="00904BFD">
      <w:pPr>
        <w:spacing w:before="120" w:after="100" w:afterAutospacing="1" w:line="400" w:lineRule="atLeast"/>
        <w:rPr>
          <w:rFonts w:eastAsia="Times New Roman"/>
          <w:sz w:val="24"/>
          <w:szCs w:val="24"/>
        </w:rPr>
      </w:pPr>
      <w:r w:rsidRPr="00904BFD">
        <w:rPr>
          <w:rFonts w:eastAsia="Times New Roman"/>
          <w:b/>
          <w:bCs/>
        </w:rPr>
        <w:t>      I. VỀ CÔNG TÁC PHÒNG, CHỐNG TỆ NẠN MẠI DÂM:</w:t>
      </w:r>
    </w:p>
    <w:p w:rsidR="00904BFD" w:rsidRPr="00904BFD" w:rsidRDefault="00904BFD" w:rsidP="00904BFD">
      <w:pPr>
        <w:spacing w:before="120" w:after="100" w:afterAutospacing="1" w:line="400" w:lineRule="atLeast"/>
        <w:rPr>
          <w:rFonts w:eastAsia="Times New Roman"/>
          <w:sz w:val="24"/>
          <w:szCs w:val="24"/>
        </w:rPr>
      </w:pPr>
      <w:r w:rsidRPr="00904BFD">
        <w:rPr>
          <w:rFonts w:eastAsia="Times New Roman"/>
          <w:sz w:val="30"/>
        </w:rPr>
        <w:t>        Hải Phòng là thành phố cảng, trung tâm kinh tế, thương mại lớn của cả nước, đầu mối giao thương của khu vực phía Bắc, có các khu du lịch Đồ Sơn, Cát Bà nổi tiếng… Với những lợi thế đó, Hải Phòng luôn là sức hút các nhà đầu tư trong và ngoài nước, cũng là nơi thu hút một lượng lớn khách du lịch đến tham quan, vui chơi giải trí; kèm theo đó cũng tiềm ẩn nhiều nguy cơ phát sinh các tệ nạn xã hội, trong đó có tệ nạn mại dâm.</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xml:space="preserve">Tình hình tệ nạn mại dâm trên địa bàn thành phố Hải Phòng những năm vừa qua vẫn tiếp tục diễn biến phức tạp… Hoạt động mại dâm không chỉ diễn ra ở các quận nội thành, các khu du lịch mà còn ở các vùng giáp ranh và các huyện ngoại thành. Phần lớn gái bán dâm có </w:t>
      </w:r>
      <w:r w:rsidRPr="00904BFD">
        <w:rPr>
          <w:rFonts w:eastAsia="Times New Roman"/>
          <w:sz w:val="30"/>
        </w:rPr>
        <w:lastRenderedPageBreak/>
        <w:t>độ tuổi từ 18 đến 35, không nghề nghiệp hoặc nghề nghiệp không ổn định, trình độ văn hoá thấp.</w:t>
      </w:r>
    </w:p>
    <w:p w:rsidR="00904BFD" w:rsidRPr="00904BFD" w:rsidRDefault="00904BFD" w:rsidP="00904BFD">
      <w:pPr>
        <w:spacing w:before="120" w:after="100" w:afterAutospacing="1" w:line="400" w:lineRule="atLeast"/>
        <w:rPr>
          <w:rFonts w:eastAsia="Times New Roman"/>
          <w:sz w:val="24"/>
          <w:szCs w:val="24"/>
        </w:rPr>
      </w:pPr>
      <w:r w:rsidRPr="00904BFD">
        <w:rPr>
          <w:rFonts w:eastAsia="Times New Roman"/>
          <w:sz w:val="30"/>
        </w:rPr>
        <w:t>        Trong 6 tháng đầu năm 2014, thành phố đã thực hiện  đẩy mạnh triển khai công tác phòng, chống tệ nạn xã hội, trong đó tập trung chỉ đạo công tác phòng, chống tệ nạn mại dâm. Đẩy mạnh và đổi mới các hoạt động tuyên truyền, giáo dục pháp luật nhằm nâng cao nhận thức về phòng, chống tệ nạn mại dâm; tăng cường công tác giảm hại, hỗ trợ người hoạt đông mại dâm tái hoà nhập cộng đồng bền vững. Đồng thời, đẩy mạnh công tác điều tra, triệt phá các ổ nhóm mại dâm. Từ đầu năm đến nay, Công an thành phố đã điều tra, đấu tranh khám phá 7 vụ, bắt 32 đối tượng; trong đó có 05 chủ chứa, 01 môi giới, 13 gái bán dâm và 13 người mua dâm. Viện Kiểm sát nhân dân thành phố và các quận, huyện đã truy tố 17 vụ, với 25 bị can. Tòa án nhân dân thành phố và các quận, huyện đã xét xử 22 vụ, với 31 bị can các tội chứa mại dâm và môi giới mại dâm. Đoàn Kiểm tra liên ngành 178 thành phố và Đội Kiểm tra liên ngành 178 các quận, huyện đã kiểm tra 184 buổi tại 569 lượt cơ sở kinh doanh dịch vụ.</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b/>
          <w:bCs/>
          <w:sz w:val="30"/>
        </w:rPr>
        <w:t>1. Một số tồn ta</w:t>
      </w:r>
      <w:r w:rsidRPr="00904BFD">
        <w:rPr>
          <w:rFonts w:ascii="Arial" w:eastAsia="Times New Roman" w:hAnsi="Arial" w:cs="Arial"/>
          <w:b/>
          <w:bCs/>
          <w:sz w:val="30"/>
        </w:rPr>
        <w:t>̣</w:t>
      </w:r>
      <w:r w:rsidRPr="00904BFD">
        <w:rPr>
          <w:rFonts w:ascii="Calibri" w:eastAsia="Times New Roman" w:hAnsi="Calibri"/>
          <w:b/>
          <w:bCs/>
          <w:sz w:val="30"/>
        </w:rPr>
        <w:t>i</w:t>
      </w:r>
      <w:r w:rsidRPr="00904BFD">
        <w:rPr>
          <w:rFonts w:eastAsia="Times New Roman"/>
          <w:b/>
          <w:bCs/>
          <w:sz w:val="30"/>
        </w:rPr>
        <w:t>, khó khăn chủ yếu:</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Tuy đã có nhiều cố gắng và đạt được những kết quả tích cực, song công tác phòng, chống tệ nạn mại dâm trên địa bàn thành phố vẫn còn có những tồn tại, khó khăn, cụ thể như sau:</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xml:space="preserve">- Một số cấp uỷ Đảng, chính quyền cơ sở nhận thức chưa đầy đủ, chưa thực sự coi trọng công tác phòng, chống tệ nạn mại dâm và có tư tưởng trông chờ, ỷ lại hoặc né tránh, coi đây là công việc của các ngành chức năng. </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 Do lợi nhuận về kinh tế nên các chủ cơ sở kinh doanh, dịch vụ vẫn tìm mọi cách lén lút để tổ chức hoạt động mại dâm trá hình, trong đó đáng chú ý là hoạt động mại dâm trá hình tại các khu du lịch. Tệ nạn mại dâm có những diễn biến phức tạp, ngày càng biến tướng, tinh vi (như sử dụng công nghệ thông tin hiện đại) để tránh sự phát hiện của các cơ quan chức năng.</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lastRenderedPageBreak/>
        <w:t>- Công tác kiểm tra, kiểm soát, sự phối hợp trong hoạt động liên ngành trong công tác phòng, chống tệ nạn mại dâm đôi lúc còn thiếu đồng bộ, có nơi, có lúc chưa được quan tâm chỉ đạo kịp thời. Hoạt động của Đội Kiểm tra liên ngành 178 ở cấp quận, huyện có nơi chưa được thường xuyên, nhất là tại các vùng giáp ranh. Việc bắt giữ, xử lý, triệt xóa các ổ nhóm mại dâm, các đối tượng chủ chứa và môi giới mại dâm còn gặp nhiều khó khăn.</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Thành phố Hải Phòng đã chấp hành thực hiện nghiêm Nghị quyết số 24 của Quốc hội, tổ chức đưa các đối tượng là gái hoạt động mại dâm hồi gia. Tuy nhiên, việc không áp dụng biện pháp giáo dục tại xã, phường, thị trấn và đưa vào cơ sở chữa bệnh đối với người bán dâm mà chỉ bị xử phạt hành chính nên tính răn đe chưa cao.  Hơn nữa, cán bộ làm công tác phòng, chống tệ nạn xã hội ở cơ sở phường, xã chủ yếu là kiêm nhiệm, luôn có sự thay đổi về nhân sự, chuyên môn nghiệp vụ còn yếu dẫn đến hiệu quả công việc còn hạn chế.</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Công tác hướng nghiệp, dạy nghề và giải quyết việc làm cho người bán dâm chưa được quan tâm đúng mức. Một số gái bán dâm sau khi bị bắt không có nghề nghiệp ổn định lại tiếp tục hoạt động mại dâm trở lại và tái phạm nhiều lần. Đa số gái mại dâm là từ tỉnh khác đến, nơi cư trú không ổn định, thường xuyên di chuyển địa bàn nên việc tái hòa nhập còn gặp nhiều khó khăn.</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Hoạt động giáo dục, dạy nghề và hỗ trợ tái hòa nhập cộng đồng cho người bán dâm hiệu quả còn thấp. Nhiều người bán dâm chưa tiếp cận được các dịch vụ xã hội, dịch vụ y tế và các chương trình can thiệp giảm hại, tình dục an toàn.</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b/>
          <w:bCs/>
          <w:sz w:val="30"/>
        </w:rPr>
        <w:t>2. Các giải pháp để khắc phục tệ  nạn mại dâm: </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b/>
          <w:bCs/>
          <w:sz w:val="30"/>
        </w:rPr>
        <w:t>-</w:t>
      </w:r>
      <w:r w:rsidRPr="00904BFD">
        <w:rPr>
          <w:rFonts w:eastAsia="Times New Roman"/>
          <w:sz w:val="30"/>
        </w:rPr>
        <w:t xml:space="preserve"> Tiếp tục đẩy mạnh chỉ đạo công tác phòng, chống tệ nạn xã hội, trong đó có công tác phòng, chống mại dâm. Các cấp ủy, chính quyền, đoàn thể địa phương phải quan tâm trong công tác lãnh đạo, chỉ đạo công tác phòng, chống tệ nạn xã hội. Việc xác định rõ vai trò, trách nhiệm cá nhân của người đứng đầu cấp ủy Đảng, chính quyền, đoàn thể </w:t>
      </w:r>
      <w:r w:rsidRPr="00904BFD">
        <w:rPr>
          <w:rFonts w:eastAsia="Times New Roman"/>
          <w:sz w:val="30"/>
        </w:rPr>
        <w:lastRenderedPageBreak/>
        <w:t>có ý nghĩa quan trọng trong thực hiện công tác phòng, chống tệ nạn mại dâm đảm bảo hiệu quả.</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Đẩy mạnh công tác tuyên truyền, giáo dục pháp luật, nâng cao nhận thức của cán bộ và quần chúng nhân dân về phòng, chống mại dâm, chú trọng các hình thức tuyên truyền cho các đối tượng và địa bàn có nguy cơ cao về tệ nạn mại dâm.</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Tăng cường công tác phối hợp liên ngành trong phòng, chống tệ nạn mại dâm; đảm bảo tuân thủ các quy định về Quy chế phối hợp liên ngành phòng, chống tệ nạn mại dâm tại các địa phương. Chú trọng việc triển khai Nghị quyết liên tịch số 01/2008/NQLT của Bộ Lao động Thương binh và Xã hội - Bộ Công an - Bộ Văn hóa Thể thao và Du lịch - Ủy ban Trung ương Mặt trận Tổ quốc Việt Nam, xây dựng và duy trì xã, phường, thị trấn lành mạnh, không có tệ nạn ma túy, mại dâm gắn với cuộc vận động “Toàn dân đoàn kết xây dựng đời sống văn hóa ở khu dân cư”.</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Tăng cường kiểm tra việc chấp hành các quy định của pháp luật về phòng, chống tệ nạn mại dâm tại các địa phương; thường xuyên tổ chức kiểm tra, thanh tra các cơ sở kinh doanh, dịch vụ dễ phát sinh tệ nạn mại dâm, ở các vùng giáp ranh và khu du lịch trên địa bàn.</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Chỉ đạo Công an thành phố và các đơn vị chức năng nắm chắc tình hình và các loại hình hoạt động kinh doanh, dịch vụ dễ phát sinh tệ nạn mại dâm; chủ động xây dựng các phương án, kế hoạch, tổ chức các đợt cao điểm phòng, chống tội phạm, trong đó có tội phạm mại dâm; đẩy mạnh công tác đấu tranh, tổ chức triệt phá các tụ điểm, ổ nhóm hoạt động mại dâm, các đường dây mua bán phụ nữ, trẻ em để hoạt động mại dâm; phối hợp chặt chẽ với Viện Kiểm sát nhân dân, Tòa án nhân dân xử lý nghiêm các đối tượng vi phạm. Lựa chọn một số vụ án điểm đưa ra xét xử lưu động nhằm tăng cường giáo dục, răn đe, phòng ngừa tội phạm, góp phần đảm bảo an ninh trật tự trên địa bàn thành phố.</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xml:space="preserve">- Xây dựng các mô hình tại cộng đồng nhằm hỗ trợ, giúp đỡ người bán dâm trong phòng, chống HIV/AIDS và tái hòa nhập cộng đồng, tập trung vào các hoạt động tư vấn, giáo dục, dạy nghề để chuyển đổi nhận </w:t>
      </w:r>
      <w:r w:rsidRPr="00904BFD">
        <w:rPr>
          <w:rFonts w:eastAsia="Times New Roman"/>
          <w:sz w:val="30"/>
        </w:rPr>
        <w:lastRenderedPageBreak/>
        <w:t>thức và hành vi cho đối tượng, tạo điều kiện cho họ tái hòa nhập cộng đồng, ổn định cuộc sống.</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Nâng cao năng lực, phẩm chất, trình độ chuyên môn nghiệp vụ, tinh thần trách nhiệm của đội ngũ cán bộ trực tiếp làm công tác đấu tranh phòng, chống tệ nạn mại dâm; huy động có hiệu quả các nguồn lực của cộng đồng tham gia vào nhiệm vụ phòng, chống tệ nạn mại dâm. Thường xuyên kiểm tra, đôn đốc, chấn chỉnh việc triển khai thực hiện công tác phòng, chống tệ nạn mại dâm theo chức năng nhiệm vụ được giao.</w:t>
      </w:r>
    </w:p>
    <w:p w:rsidR="00904BFD" w:rsidRPr="00904BFD" w:rsidRDefault="00904BFD" w:rsidP="00904BFD">
      <w:pPr>
        <w:spacing w:before="120" w:after="0" w:line="400" w:lineRule="atLeast"/>
        <w:ind w:firstLine="720"/>
        <w:rPr>
          <w:rFonts w:eastAsia="Times New Roman"/>
          <w:sz w:val="24"/>
          <w:szCs w:val="24"/>
        </w:rPr>
      </w:pPr>
      <w:r w:rsidRPr="00904BFD">
        <w:rPr>
          <w:rFonts w:eastAsia="Times New Roman"/>
          <w:b/>
          <w:bCs/>
          <w:sz w:val="24"/>
          <w:szCs w:val="24"/>
        </w:rPr>
        <w:t>II. VỀ CÔNG TÁC XÃ HỘI HÓA  ĐIỀU TRỊ METHADONE:</w:t>
      </w:r>
    </w:p>
    <w:p w:rsidR="00904BFD" w:rsidRPr="00904BFD" w:rsidRDefault="00904BFD" w:rsidP="00904BFD">
      <w:pPr>
        <w:spacing w:before="120" w:after="100" w:afterAutospacing="1" w:line="400" w:lineRule="atLeast"/>
        <w:rPr>
          <w:rFonts w:eastAsia="Times New Roman"/>
          <w:sz w:val="24"/>
          <w:szCs w:val="24"/>
        </w:rPr>
      </w:pPr>
      <w:r w:rsidRPr="00904BFD">
        <w:rPr>
          <w:rFonts w:eastAsia="Times New Roman"/>
          <w:b/>
          <w:bCs/>
          <w:sz w:val="30"/>
        </w:rPr>
        <w:t>1. Một số kết quả bước đầu:</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Qua kết quả triển khai thực hiện điều trị  Methadone đã khẳng định sự phù hợp với thực tiễn công tác cai nghiện đối với người nghiện các chất dạng thuốc phiện và đã đạt kết quả tích cực. Việc mở rộng điều trị  Methadone đã làm tăng số người nghiện được điều trị với chi phí thấp hơn tổ chức cai nghiện tập trung, giúp người nghiện ổn định, tự tìm kiếm việc làm để nuôi sống bản thân và giúp đỡ gia đình, góp phần đảm bảo trật tự an toàn xã hội.</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xml:space="preserve">Từ việc triển khai thành công Đề án thí  điểm điều trị Methadone theo mô hình xã  hội hóa tại 1 Cơ sở điều trị Methadone thuộc Chi cục Phòng chống tệ nạn xã hội do Sở  Lao động Thương binh và Xã hội quản lý từ  tháng 6 năm 2011. Sau khi được Chính phủ cho phép  tại Công văn số 5814/VPCP-KGVX ngày 17/7/2013, thành phố Hải Phòng đã triển khai nhân rộng mô hình xã hội hóa đến toàn bộ các cơ sở điều trị Methadone trên địa bàn thành phố từ ngày 01/01/2014 đến nay, với mức thu một phần chi phí điều trị là 10.000 đồng/người bệnh/ngày (các đối tượng quy định tại khoản 2, Điều 23, Nghị định số 96/2012/NĐ-CP ngày 15/11/2012 của Chính phủ được ngân sách hỗ trợ 80% mức đóng, chỉ phải nộp 2.000 đồng/người bệnh/ngày), tỷ lệ thu đạt được từ 85% đến 90% trên tổng số bệnh nhân đang tham gia điều trị Methadone là 3.043 người. </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b/>
          <w:bCs/>
          <w:sz w:val="30"/>
        </w:rPr>
        <w:lastRenderedPageBreak/>
        <w:t>2. Từ những kết quả trên, chúng tôi rút ra những bài học kinh nghiệm sau:</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Việc triển khai chương trình điều trị Methadone, đặc biệt là triển khai xã hội hóa điều trị Methadone cần có sự thống nhất cao trong lãnh đạo của các cấp ủy Đảng, chính quyền, các ban, ngành, đoàn thể và đặc biệt là vai trò tham mưu, tổ chức thực hiện của các ngành: Y tế, Lao động Thương binh và Xã hội, Công an, Tài chính và chính quyền cơ sở. Đề án xã hội hóa điều trị Methadone được Thường trực Thành ủy và Thường trực Hội đồng nhân dân thành phố thống nhất chỉ đạo, là cơ sở để Ủy ban nhân dân thành phố tổ chức thực hiện.</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xml:space="preserve">- Trước và trong quá trình triển khai xã hội hóa điều trị Methadone, thành phố đã chỉ  đạo làm tốt công tác tuyên truyền, phổ biến rộng rãi các quy định pháp luật, phương án xã hội hóa tạo sự đồng thuận trong các tầng lớp nhân. Đồng thời xây dựng các quy định, thủ tục, quy trình chặt chẽ, công khai, minh bạch; tổ chức giải thích, hướng dẫn đến từng người bệnh tham gia điều trị  Methadone và gia đình họ về quyền lợi, nghĩa vụ và tiêu chuẩn, thủ tục xét miễn, giảm chi phí theo quy định của Nhà nước để họ  tự nguyện chấp hành. </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b/>
          <w:bCs/>
          <w:sz w:val="30"/>
        </w:rPr>
        <w:t>3. Một số khó khăn, vướng mắc:</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Trong quá trình triển khai mở rộng xã hội hóa điều trị Methadone, nhất là triển khai thực hiện Nghị định số 96/2012/NĐ-CP ngày 15/11/2012 của Chính phủ quy định về điều trị nghiện các chất dạng thuốc phiện bằng thuốc thay thế, Ủy ban nhân dân thành phố Hải Phòng thấy rằng vẫn còn một số khó khăn, vướng mắc sau:</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Khó khăn, vướng mắc về cơ chế cung ứng thuốc Methadone khi triển khai mở thêm các cơ  sở điều trị Methadone và tăng thêm chỉ  tiêu điều trị người nghiện. Vì hiện nay, các cơ sở điều trị Methadone của thành phố  vẫn đang thực hiện theo chỉ tiêu người bệnh được Bộ Y tế giao, thuốc Methadone được các tổ chức quốc tế hỗ trợ, cung cấp theo chỉ  tiêu này.</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lastRenderedPageBreak/>
        <w:t xml:space="preserve">- Khó khăn, vướng mắc về thực hiện giá  dịch vụ điều trị Methadone vì liên Bộ  Y tế - Bộ Tài chính chưa ban hành khung giá. Thành phố Hải Phòng phải xin phép Chính phủ thực hiện thí điểm từ ngày 01/01/2014, mức thu hiện nay là  10.000 đồng/người bệnh/ngày, chỉ chiếm khoảng 1/3 so với tổng chi phí điều trị, mới chỉ thu một phần chi phí thường xuyên; chưa có tiền thuốc Methadone (do các tổ chức quốc tế cấp), chi phí  cơ sở vật chất, trang thiết bị và nhân lực (do ngân sách thành phố cấp). </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Khó khăn, vướng mắc trong việc cấp thuốc Methadone cho người bệnh khi đi chữa bệnh nội trú, đi việc riêng hoặc làm ăn tại địa phương không có  cơ sở điều trị Methadone và trong việc thực hiện quy định tại khoản 1, Điều 8, Nghị định số 96/2012/NĐ-CP: “Phạm nhân, người bị tạm giữ, tạm giam, trại viên, học sinh đang tham gia điều trị  nghiện chất dạng thuốc phiện ngoài cộng đồng bị  đưa vào các cơ sở giáo dục, trường giáo dưỡng, trại giam, trại tạm giam” được tiếp tục tham gia điều trị nghiện chất dạng thuốc phiện bằng thuốc thay thế.</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Ủy ban nhân dân thành phố Hải Phòng đề nghị Chính phủ, các Bộ, ngành Trung ương tiếp tục ban hành các văn bản hướng dẫn cụ thể để các địa phương có cơ sở triển khai thuận lợi mở rộng điều trị Methadone.</w:t>
      </w:r>
    </w:p>
    <w:p w:rsidR="00904BFD" w:rsidRPr="00904BFD" w:rsidRDefault="00904BFD" w:rsidP="00904BFD">
      <w:pPr>
        <w:spacing w:before="120" w:after="100" w:afterAutospacing="1" w:line="400" w:lineRule="atLeast"/>
        <w:ind w:firstLine="720"/>
        <w:rPr>
          <w:rFonts w:eastAsia="Times New Roman"/>
          <w:sz w:val="24"/>
          <w:szCs w:val="24"/>
        </w:rPr>
      </w:pPr>
      <w:r w:rsidRPr="00904BFD">
        <w:rPr>
          <w:rFonts w:eastAsia="Times New Roman"/>
          <w:sz w:val="30"/>
        </w:rPr>
        <w:t xml:space="preserve">Trên đây là một số ý kiến tham luận của Ủy ban nhân dân thành phố Hải Phòng. Xin trân trọng cảm ơn Phó Thủ tướng Chính phủ  và toàn thể Hội nghị./. </w:t>
      </w:r>
    </w:p>
    <w:p w:rsidR="00904BFD" w:rsidRPr="00904BFD" w:rsidRDefault="00904BFD" w:rsidP="00904BFD">
      <w:pPr>
        <w:spacing w:before="100" w:beforeAutospacing="1" w:after="100" w:afterAutospacing="1" w:line="240" w:lineRule="auto"/>
        <w:jc w:val="left"/>
        <w:rPr>
          <w:rFonts w:eastAsia="Times New Roman"/>
          <w:sz w:val="24"/>
          <w:szCs w:val="24"/>
        </w:rPr>
      </w:pPr>
      <w:r w:rsidRPr="00904BFD">
        <w:rPr>
          <w:rFonts w:eastAsia="Times New Roman"/>
          <w:sz w:val="24"/>
          <w:szCs w:val="24"/>
        </w:rPr>
        <w:t> </w:t>
      </w:r>
    </w:p>
    <w:tbl>
      <w:tblPr>
        <w:tblW w:w="9825" w:type="dxa"/>
        <w:tblCellMar>
          <w:top w:w="15" w:type="dxa"/>
          <w:left w:w="15" w:type="dxa"/>
          <w:bottom w:w="15" w:type="dxa"/>
          <w:right w:w="15" w:type="dxa"/>
        </w:tblCellMar>
        <w:tblLook w:val="04A0"/>
      </w:tblPr>
      <w:tblGrid>
        <w:gridCol w:w="3342"/>
        <w:gridCol w:w="6483"/>
      </w:tblGrid>
      <w:tr w:rsidR="00904BFD" w:rsidRPr="00904BFD" w:rsidTr="00904BFD">
        <w:tc>
          <w:tcPr>
            <w:tcW w:w="2505" w:type="dxa"/>
            <w:hideMark/>
          </w:tcPr>
          <w:p w:rsidR="00904BFD" w:rsidRPr="00904BFD" w:rsidRDefault="00904BFD" w:rsidP="00904BFD">
            <w:pPr>
              <w:spacing w:after="0" w:line="240" w:lineRule="auto"/>
              <w:jc w:val="left"/>
              <w:rPr>
                <w:rFonts w:eastAsia="Times New Roman"/>
                <w:sz w:val="24"/>
                <w:szCs w:val="24"/>
              </w:rPr>
            </w:pPr>
            <w:bookmarkStart w:id="0" w:name="table01"/>
            <w:bookmarkEnd w:id="0"/>
            <w:r w:rsidRPr="00904BFD">
              <w:rPr>
                <w:rFonts w:eastAsia="Times New Roman"/>
                <w:sz w:val="24"/>
                <w:szCs w:val="24"/>
              </w:rPr>
              <w:t> </w:t>
            </w:r>
          </w:p>
        </w:tc>
        <w:tc>
          <w:tcPr>
            <w:tcW w:w="4860" w:type="dxa"/>
            <w:hideMark/>
          </w:tcPr>
          <w:p w:rsidR="00904BFD" w:rsidRPr="00904BFD" w:rsidRDefault="00904BFD" w:rsidP="00904BFD">
            <w:pPr>
              <w:spacing w:before="100" w:beforeAutospacing="1" w:after="100" w:afterAutospacing="1" w:line="360" w:lineRule="atLeast"/>
              <w:jc w:val="center"/>
              <w:rPr>
                <w:rFonts w:eastAsia="Times New Roman"/>
                <w:sz w:val="24"/>
                <w:szCs w:val="24"/>
              </w:rPr>
            </w:pPr>
            <w:r w:rsidRPr="00904BFD">
              <w:rPr>
                <w:rFonts w:eastAsia="Times New Roman"/>
                <w:b/>
                <w:bCs/>
              </w:rPr>
              <w:t>ỦY BAN NHÂN DÂN THÀNH PHỐ HẢI PHÒNG</w:t>
            </w:r>
          </w:p>
        </w:tc>
      </w:tr>
    </w:tbl>
    <w:p w:rsidR="00311D9B" w:rsidRDefault="00311D9B"/>
    <w:sectPr w:rsidR="00311D9B" w:rsidSect="005442DE">
      <w:pgSz w:w="11909" w:h="16834" w:code="9"/>
      <w:pgMar w:top="1440" w:right="1152" w:bottom="1152"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904BFD"/>
    <w:rsid w:val="0014693F"/>
    <w:rsid w:val="00311D9B"/>
    <w:rsid w:val="005442DE"/>
    <w:rsid w:val="007E1817"/>
    <w:rsid w:val="00904BFD"/>
    <w:rsid w:val="00E20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basedOn w:val="Normal"/>
    <w:rsid w:val="00904BFD"/>
    <w:pPr>
      <w:spacing w:before="100" w:beforeAutospacing="1" w:after="100" w:afterAutospacing="1" w:line="240" w:lineRule="auto"/>
      <w:jc w:val="left"/>
    </w:pPr>
    <w:rPr>
      <w:rFonts w:eastAsia="Times New Roman"/>
      <w:sz w:val="24"/>
      <w:szCs w:val="24"/>
    </w:rPr>
  </w:style>
  <w:style w:type="character" w:customStyle="1" w:styleId="normalchar">
    <w:name w:val="normal__char"/>
    <w:basedOn w:val="DefaultParagraphFont"/>
    <w:rsid w:val="00904BFD"/>
  </w:style>
  <w:style w:type="paragraph" w:customStyle="1" w:styleId="td">
    <w:name w:val="td"/>
    <w:basedOn w:val="Normal"/>
    <w:rsid w:val="00904BFD"/>
    <w:pPr>
      <w:spacing w:before="100" w:beforeAutospacing="1" w:after="100" w:afterAutospacing="1" w:line="240" w:lineRule="auto"/>
      <w:jc w:val="left"/>
    </w:pPr>
    <w:rPr>
      <w:rFonts w:eastAsia="Times New Roman"/>
      <w:sz w:val="24"/>
      <w:szCs w:val="24"/>
    </w:rPr>
  </w:style>
  <w:style w:type="character" w:customStyle="1" w:styleId="tdchar">
    <w:name w:val="td__char"/>
    <w:basedOn w:val="DefaultParagraphFont"/>
    <w:rsid w:val="00904BFD"/>
  </w:style>
  <w:style w:type="paragraph" w:customStyle="1" w:styleId="list0020paragraph">
    <w:name w:val="list_0020paragraph"/>
    <w:basedOn w:val="Normal"/>
    <w:rsid w:val="00904BFD"/>
    <w:pPr>
      <w:spacing w:before="100" w:beforeAutospacing="1" w:after="100" w:afterAutospacing="1" w:line="240" w:lineRule="auto"/>
      <w:jc w:val="left"/>
    </w:pPr>
    <w:rPr>
      <w:rFonts w:eastAsia="Times New Roman"/>
      <w:sz w:val="24"/>
      <w:szCs w:val="24"/>
    </w:rPr>
  </w:style>
  <w:style w:type="character" w:customStyle="1" w:styleId="list0020paragraphchar">
    <w:name w:val="list_0020paragraph__char"/>
    <w:basedOn w:val="DefaultParagraphFont"/>
    <w:rsid w:val="00904BFD"/>
  </w:style>
  <w:style w:type="paragraph" w:styleId="NormalWeb">
    <w:name w:val="Normal (Web)"/>
    <w:basedOn w:val="Normal"/>
    <w:uiPriority w:val="99"/>
    <w:semiHidden/>
    <w:unhideWhenUsed/>
    <w:rsid w:val="00904BFD"/>
    <w:pPr>
      <w:spacing w:before="100" w:beforeAutospacing="1" w:after="100" w:afterAutospacing="1" w:line="240" w:lineRule="auto"/>
      <w:jc w:val="left"/>
    </w:pPr>
    <w:rPr>
      <w:rFonts w:eastAsia="Times New Roman"/>
      <w:sz w:val="24"/>
      <w:szCs w:val="24"/>
    </w:rPr>
  </w:style>
  <w:style w:type="paragraph" w:customStyle="1" w:styleId="normal0020table">
    <w:name w:val="normal_0020table"/>
    <w:basedOn w:val="Normal"/>
    <w:rsid w:val="00904BFD"/>
    <w:pPr>
      <w:spacing w:before="100" w:beforeAutospacing="1" w:after="100" w:afterAutospacing="1" w:line="240" w:lineRule="auto"/>
      <w:jc w:val="left"/>
    </w:pPr>
    <w:rPr>
      <w:rFonts w:eastAsia="Times New Roman"/>
      <w:sz w:val="24"/>
      <w:szCs w:val="24"/>
    </w:rPr>
  </w:style>
  <w:style w:type="character" w:customStyle="1" w:styleId="normal0020tablechar">
    <w:name w:val="normal_0020table__char"/>
    <w:basedOn w:val="DefaultParagraphFont"/>
    <w:rsid w:val="00904BFD"/>
  </w:style>
</w:styles>
</file>

<file path=word/webSettings.xml><?xml version="1.0" encoding="utf-8"?>
<w:webSettings xmlns:r="http://schemas.openxmlformats.org/officeDocument/2006/relationships" xmlns:w="http://schemas.openxmlformats.org/wordprocessingml/2006/main">
  <w:divs>
    <w:div w:id="52251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1906</Words>
  <Characters>10866</Characters>
  <Application>Microsoft Office Word</Application>
  <DocSecurity>0</DocSecurity>
  <Lines>90</Lines>
  <Paragraphs>25</Paragraphs>
  <ScaleCrop>false</ScaleCrop>
  <Company>ViettelTelecom</Company>
  <LinksUpToDate>false</LinksUpToDate>
  <CharactersWithSpaces>12747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ngothiphuonglien</dc:creator>
  <cp:keywords/>
  <dc:description/>
  <cp:lastModifiedBy>ngothiphuonglien</cp:lastModifiedBy>
  <cp:revision>1</cp:revision>
  <dcterms:created xsi:type="dcterms:W3CDTF">2014-06-05T08:24:00Z</dcterms:created>
  <dcterms:modified xsi:type="dcterms:W3CDTF">2014-06-05T08:25:00Z</dcterms:modified>
</cp:coreProperties>
</file>